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540" w:rsidRPr="009C237F" w:rsidRDefault="00AF7540" w:rsidP="007B3E17">
      <w:pPr>
        <w:pBdr>
          <w:top w:val="single" w:sz="4" w:space="1" w:color="auto"/>
          <w:left w:val="single" w:sz="4" w:space="4" w:color="auto"/>
          <w:bottom w:val="single" w:sz="4" w:space="1" w:color="auto"/>
          <w:right w:val="single" w:sz="4" w:space="4" w:color="auto"/>
        </w:pBdr>
        <w:tabs>
          <w:tab w:val="clear" w:pos="1080"/>
        </w:tabs>
        <w:overflowPunct/>
        <w:autoSpaceDE/>
        <w:autoSpaceDN/>
        <w:adjustRightInd/>
        <w:jc w:val="center"/>
        <w:textAlignment w:val="auto"/>
        <w:outlineLvl w:val="9"/>
        <w:rPr>
          <w:rFonts w:ascii="Times New Roman" w:hAnsi="Times New Roman"/>
          <w:sz w:val="24"/>
          <w:szCs w:val="24"/>
        </w:rPr>
      </w:pPr>
      <w:r w:rsidRPr="009C237F">
        <w:rPr>
          <w:rFonts w:ascii="Times New Roman" w:hAnsi="Times New Roman"/>
          <w:b/>
          <w:sz w:val="24"/>
          <w:szCs w:val="24"/>
        </w:rPr>
        <w:t xml:space="preserve">EXHIBIT 17-1: PBV DEVELOPMENT: [Tapestry On </w:t>
      </w:r>
      <w:proofErr w:type="gramStart"/>
      <w:r w:rsidRPr="009C237F">
        <w:rPr>
          <w:rFonts w:ascii="Times New Roman" w:hAnsi="Times New Roman"/>
          <w:b/>
          <w:sz w:val="24"/>
          <w:szCs w:val="24"/>
        </w:rPr>
        <w:t>The</w:t>
      </w:r>
      <w:proofErr w:type="gramEnd"/>
      <w:r w:rsidRPr="009C237F">
        <w:rPr>
          <w:rFonts w:ascii="Times New Roman" w:hAnsi="Times New Roman"/>
          <w:b/>
          <w:sz w:val="24"/>
          <w:szCs w:val="24"/>
        </w:rPr>
        <w:t xml:space="preserve"> </w:t>
      </w:r>
      <w:smartTag w:uri="urn:schemas-microsoft-com:office:smarttags" w:element="place">
        <w:smartTag w:uri="urn:schemas-microsoft-com:office:smarttags" w:element="City">
          <w:r w:rsidRPr="009C237F">
            <w:rPr>
              <w:rFonts w:ascii="Times New Roman" w:hAnsi="Times New Roman"/>
              <w:b/>
              <w:sz w:val="24"/>
              <w:szCs w:val="24"/>
            </w:rPr>
            <w:t>Hudson</w:t>
          </w:r>
        </w:smartTag>
      </w:smartTag>
      <w:r w:rsidRPr="009C237F">
        <w:rPr>
          <w:rFonts w:ascii="Times New Roman" w:hAnsi="Times New Roman"/>
          <w:b/>
          <w:sz w:val="24"/>
          <w:szCs w:val="24"/>
        </w:rPr>
        <w:t>]</w:t>
      </w:r>
    </w:p>
    <w:p w:rsidR="00AF7540" w:rsidRPr="009C237F" w:rsidRDefault="00AF7540" w:rsidP="007B3E17">
      <w:pPr>
        <w:tabs>
          <w:tab w:val="clear" w:pos="1080"/>
        </w:tabs>
        <w:overflowPunct/>
        <w:autoSpaceDE/>
        <w:autoSpaceDN/>
        <w:adjustRightInd/>
        <w:textAlignment w:val="auto"/>
        <w:outlineLvl w:val="9"/>
        <w:rPr>
          <w:rFonts w:ascii="Times New Roman" w:hAnsi="Times New Roman"/>
          <w:sz w:val="24"/>
          <w:szCs w:val="24"/>
        </w:rPr>
      </w:pPr>
      <w:r w:rsidRPr="009C237F">
        <w:rPr>
          <w:rFonts w:ascii="Times New Roman" w:hAnsi="Times New Roman"/>
          <w:b/>
          <w:sz w:val="24"/>
          <w:szCs w:val="24"/>
        </w:rPr>
        <w:t xml:space="preserve">Development: Tapestry On The </w:t>
      </w:r>
      <w:smartTag w:uri="urn:schemas-microsoft-com:office:smarttags" w:element="place">
        <w:smartTag w:uri="urn:schemas-microsoft-com:office:smarttags" w:element="City">
          <w:r w:rsidRPr="009C237F">
            <w:rPr>
              <w:rFonts w:ascii="Times New Roman" w:hAnsi="Times New Roman"/>
              <w:b/>
              <w:sz w:val="24"/>
              <w:szCs w:val="24"/>
            </w:rPr>
            <w:t>Hudson</w:t>
          </w:r>
        </w:smartTag>
      </w:smartTag>
      <w:r w:rsidRPr="009C237F">
        <w:rPr>
          <w:rFonts w:ascii="Times New Roman" w:hAnsi="Times New Roman"/>
          <w:b/>
          <w:sz w:val="24"/>
          <w:szCs w:val="24"/>
        </w:rPr>
        <w:tab/>
      </w:r>
    </w:p>
    <w:p w:rsidR="00AF7540" w:rsidRPr="009C237F" w:rsidRDefault="00AF7540" w:rsidP="007B3E17">
      <w:pPr>
        <w:tabs>
          <w:tab w:val="clear" w:pos="1080"/>
        </w:tabs>
        <w:overflowPunct/>
        <w:autoSpaceDE/>
        <w:autoSpaceDN/>
        <w:adjustRightInd/>
        <w:textAlignment w:val="auto"/>
        <w:outlineLvl w:val="9"/>
        <w:rPr>
          <w:rFonts w:ascii="Times New Roman" w:hAnsi="Times New Roman"/>
          <w:sz w:val="24"/>
          <w:szCs w:val="24"/>
        </w:rPr>
      </w:pPr>
      <w:r w:rsidRPr="009C237F">
        <w:rPr>
          <w:rFonts w:ascii="Times New Roman" w:hAnsi="Times New Roman"/>
          <w:b/>
          <w:sz w:val="24"/>
          <w:szCs w:val="24"/>
        </w:rPr>
        <w:t xml:space="preserve">Address: </w:t>
      </w:r>
      <w:smartTag w:uri="urn:schemas-microsoft-com:office:smarttags" w:element="address">
        <w:smartTag w:uri="urn:schemas-microsoft-com:office:smarttags" w:element="Street">
          <w:r w:rsidRPr="009C237F">
            <w:rPr>
              <w:rFonts w:ascii="Times New Roman" w:hAnsi="Times New Roman"/>
              <w:b/>
              <w:sz w:val="24"/>
              <w:szCs w:val="24"/>
            </w:rPr>
            <w:t>599 River Street</w:t>
          </w:r>
        </w:smartTag>
        <w:r w:rsidRPr="009C237F">
          <w:rPr>
            <w:rFonts w:ascii="Times New Roman" w:hAnsi="Times New Roman"/>
            <w:b/>
            <w:sz w:val="24"/>
            <w:szCs w:val="24"/>
          </w:rPr>
          <w:t xml:space="preserve">, </w:t>
        </w:r>
        <w:smartTag w:uri="urn:schemas-microsoft-com:office:smarttags" w:element="City">
          <w:r w:rsidRPr="009C237F">
            <w:rPr>
              <w:rFonts w:ascii="Times New Roman" w:hAnsi="Times New Roman"/>
              <w:b/>
              <w:sz w:val="24"/>
              <w:szCs w:val="24"/>
            </w:rPr>
            <w:t>Troy</w:t>
          </w:r>
        </w:smartTag>
        <w:r w:rsidRPr="009C237F">
          <w:rPr>
            <w:rFonts w:ascii="Times New Roman" w:hAnsi="Times New Roman"/>
            <w:b/>
            <w:sz w:val="24"/>
            <w:szCs w:val="24"/>
          </w:rPr>
          <w:t xml:space="preserve">, </w:t>
        </w:r>
        <w:smartTag w:uri="urn:schemas-microsoft-com:office:smarttags" w:element="State">
          <w:r w:rsidRPr="009C237F">
            <w:rPr>
              <w:rFonts w:ascii="Times New Roman" w:hAnsi="Times New Roman"/>
              <w:b/>
              <w:sz w:val="24"/>
              <w:szCs w:val="24"/>
            </w:rPr>
            <w:t>NY</w:t>
          </w:r>
        </w:smartTag>
        <w:r w:rsidRPr="009C237F">
          <w:rPr>
            <w:rFonts w:ascii="Times New Roman" w:hAnsi="Times New Roman"/>
            <w:b/>
            <w:sz w:val="24"/>
            <w:szCs w:val="24"/>
          </w:rPr>
          <w:t xml:space="preserve">  </w:t>
        </w:r>
        <w:smartTag w:uri="urn:schemas-microsoft-com:office:smarttags" w:element="PostalCode">
          <w:r w:rsidRPr="009C237F">
            <w:rPr>
              <w:rFonts w:ascii="Times New Roman" w:hAnsi="Times New Roman"/>
              <w:b/>
              <w:sz w:val="24"/>
              <w:szCs w:val="24"/>
            </w:rPr>
            <w:t>12180</w:t>
          </w:r>
        </w:smartTag>
      </w:smartTag>
    </w:p>
    <w:p w:rsidR="00AF7540" w:rsidRPr="009C237F" w:rsidRDefault="00AF7540" w:rsidP="007B3E17">
      <w:pPr>
        <w:tabs>
          <w:tab w:val="clear" w:pos="1080"/>
        </w:tabs>
        <w:overflowPunct/>
        <w:autoSpaceDE/>
        <w:autoSpaceDN/>
        <w:adjustRightInd/>
        <w:textAlignment w:val="auto"/>
        <w:outlineLvl w:val="9"/>
        <w:rPr>
          <w:rFonts w:ascii="Times New Roman" w:hAnsi="Times New Roman"/>
          <w:sz w:val="24"/>
          <w:szCs w:val="24"/>
        </w:rPr>
      </w:pPr>
      <w:r w:rsidRPr="009C237F">
        <w:rPr>
          <w:rFonts w:ascii="Times New Roman" w:hAnsi="Times New Roman"/>
          <w:b/>
          <w:sz w:val="24"/>
          <w:szCs w:val="24"/>
        </w:rPr>
        <w:t>Effective Date of Contract: April 25, 2017</w:t>
      </w:r>
    </w:p>
    <w:p w:rsidR="00AF7540" w:rsidRPr="009C237F" w:rsidRDefault="00AF7540" w:rsidP="007B3E17">
      <w:pPr>
        <w:tabs>
          <w:tab w:val="clear" w:pos="1080"/>
        </w:tabs>
        <w:overflowPunct/>
        <w:autoSpaceDE/>
        <w:autoSpaceDN/>
        <w:adjustRightInd/>
        <w:textAlignment w:val="auto"/>
        <w:outlineLvl w:val="9"/>
        <w:rPr>
          <w:rFonts w:ascii="Times New Roman" w:hAnsi="Times New Roman"/>
          <w:b/>
          <w:sz w:val="24"/>
          <w:szCs w:val="24"/>
        </w:rPr>
      </w:pPr>
      <w:r w:rsidRPr="009C237F">
        <w:rPr>
          <w:rFonts w:ascii="Times New Roman" w:hAnsi="Times New Roman"/>
          <w:b/>
          <w:sz w:val="24"/>
          <w:szCs w:val="24"/>
        </w:rPr>
        <w:t>Expiration Date of Contract: April 24, 2031</w:t>
      </w:r>
    </w:p>
    <w:p w:rsidR="00AF7540" w:rsidRPr="009C237F" w:rsidRDefault="00AF7540" w:rsidP="007B3E17">
      <w:pPr>
        <w:tabs>
          <w:tab w:val="clear" w:pos="1080"/>
        </w:tabs>
        <w:overflowPunct/>
        <w:autoSpaceDE/>
        <w:autoSpaceDN/>
        <w:adjustRightInd/>
        <w:textAlignment w:val="auto"/>
        <w:outlineLvl w:val="9"/>
        <w:rPr>
          <w:rFonts w:ascii="Times New Roman" w:hAnsi="Times New Roman"/>
          <w:sz w:val="24"/>
          <w:szCs w:val="24"/>
        </w:rPr>
      </w:pPr>
      <w:r w:rsidRPr="009C237F">
        <w:rPr>
          <w:rFonts w:ascii="Times New Roman" w:hAnsi="Times New Roman"/>
          <w:b/>
          <w:sz w:val="24"/>
          <w:szCs w:val="24"/>
        </w:rPr>
        <w:t xml:space="preserve">Term of Contract:  15 Years </w:t>
      </w:r>
    </w:p>
    <w:p w:rsidR="00AF7540" w:rsidRPr="009C237F" w:rsidRDefault="00AF7540" w:rsidP="007B3E17">
      <w:pPr>
        <w:tabs>
          <w:tab w:val="clear" w:pos="1080"/>
        </w:tabs>
        <w:overflowPunct/>
        <w:autoSpaceDE/>
        <w:autoSpaceDN/>
        <w:adjustRightInd/>
        <w:textAlignment w:val="auto"/>
        <w:outlineLvl w:val="9"/>
        <w:rPr>
          <w:rFonts w:ascii="Times New Roman" w:hAnsi="Times New Roman"/>
          <w:b/>
          <w:sz w:val="24"/>
          <w:szCs w:val="24"/>
        </w:rPr>
      </w:pPr>
      <w:r w:rsidRPr="009C237F">
        <w:rPr>
          <w:rFonts w:ascii="Times New Roman" w:hAnsi="Times New Roman"/>
          <w:b/>
          <w:sz w:val="24"/>
          <w:szCs w:val="24"/>
        </w:rPr>
        <w:t xml:space="preserve">PBV Unit Description: </w:t>
      </w:r>
      <w:r w:rsidRPr="009C237F">
        <w:rPr>
          <w:rFonts w:ascii="Times New Roman" w:hAnsi="Times New Roman"/>
          <w:sz w:val="24"/>
          <w:szCs w:val="24"/>
        </w:rPr>
        <w:t xml:space="preserve">Of the 67 units within the development known as Tapestry on the </w:t>
      </w:r>
      <w:smartTag w:uri="urn:schemas-microsoft-com:office:smarttags" w:element="place">
        <w:smartTag w:uri="urn:schemas-microsoft-com:office:smarttags" w:element="City">
          <w:r w:rsidRPr="009C237F">
            <w:rPr>
              <w:rFonts w:ascii="Times New Roman" w:hAnsi="Times New Roman"/>
              <w:sz w:val="24"/>
              <w:szCs w:val="24"/>
            </w:rPr>
            <w:t>Hudson</w:t>
          </w:r>
        </w:smartTag>
      </w:smartTag>
      <w:r w:rsidRPr="009C237F">
        <w:rPr>
          <w:rFonts w:ascii="Times New Roman" w:hAnsi="Times New Roman"/>
          <w:sz w:val="24"/>
          <w:szCs w:val="24"/>
        </w:rPr>
        <w:t xml:space="preserve">, 61 are governed by the Low Income Housing Tax Credit Program (LIHTC) administered by HCR. Of these 61 units, </w:t>
      </w:r>
      <w:r w:rsidRPr="009C237F">
        <w:rPr>
          <w:rFonts w:ascii="Times New Roman" w:hAnsi="Times New Roman"/>
          <w:b/>
          <w:sz w:val="24"/>
          <w:szCs w:val="24"/>
        </w:rPr>
        <w:t xml:space="preserve">28 units will receive the benefit of Project Based Vouchers (PBV) from the </w:t>
      </w:r>
      <w:smartTag w:uri="urn:schemas-microsoft-com:office:smarttags" w:element="place">
        <w:r w:rsidRPr="009C237F">
          <w:rPr>
            <w:rFonts w:ascii="Times New Roman" w:hAnsi="Times New Roman"/>
            <w:b/>
            <w:sz w:val="24"/>
            <w:szCs w:val="24"/>
          </w:rPr>
          <w:t>Troy</w:t>
        </w:r>
      </w:smartTag>
      <w:r w:rsidRPr="009C237F">
        <w:rPr>
          <w:rFonts w:ascii="Times New Roman" w:hAnsi="Times New Roman"/>
          <w:b/>
          <w:sz w:val="24"/>
          <w:szCs w:val="24"/>
        </w:rPr>
        <w:t xml:space="preserve"> Housing Authority. These are 7 One Bedroom Units and 21 Two Bedroom Units.  Nineteen of the PBV units are set aside for survivors of domestic violence. </w:t>
      </w:r>
    </w:p>
    <w:p w:rsidR="00AF7540" w:rsidRPr="009C237F" w:rsidRDefault="00AF7540" w:rsidP="002F47B7">
      <w:pPr>
        <w:tabs>
          <w:tab w:val="clear" w:pos="1080"/>
        </w:tabs>
        <w:overflowPunct/>
        <w:autoSpaceDE/>
        <w:autoSpaceDN/>
        <w:adjustRightInd/>
        <w:textAlignment w:val="auto"/>
        <w:outlineLvl w:val="9"/>
        <w:rPr>
          <w:rFonts w:ascii="Times New Roman" w:hAnsi="Times New Roman"/>
          <w:sz w:val="24"/>
          <w:szCs w:val="24"/>
        </w:rPr>
      </w:pPr>
      <w:r w:rsidRPr="009C237F">
        <w:rPr>
          <w:rFonts w:ascii="Times New Roman" w:hAnsi="Times New Roman"/>
          <w:b/>
          <w:sz w:val="24"/>
          <w:szCs w:val="24"/>
        </w:rPr>
        <w:t>Accessible Units and Features:</w:t>
      </w:r>
      <w:r w:rsidRPr="009C237F">
        <w:rPr>
          <w:rFonts w:ascii="Times New Roman" w:hAnsi="Times New Roman"/>
          <w:sz w:val="24"/>
          <w:szCs w:val="24"/>
        </w:rPr>
        <w:t xml:space="preserve"> Three (3) PBV units at Tapestry (10% of the PBV units at Tapestry) are accessible for persons with mobility impairment and two (2) PBV units at Tapestry are accessible to persons with visual or hearing impairment.  All units at Tapestry are </w:t>
      </w:r>
      <w:proofErr w:type="spellStart"/>
      <w:r w:rsidRPr="009C237F">
        <w:rPr>
          <w:rFonts w:ascii="Times New Roman" w:hAnsi="Times New Roman"/>
          <w:sz w:val="24"/>
          <w:szCs w:val="24"/>
        </w:rPr>
        <w:t>visitable</w:t>
      </w:r>
      <w:proofErr w:type="spellEnd"/>
      <w:r w:rsidRPr="009C237F">
        <w:rPr>
          <w:rFonts w:ascii="Times New Roman" w:hAnsi="Times New Roman"/>
          <w:sz w:val="24"/>
          <w:szCs w:val="24"/>
        </w:rPr>
        <w:t>.</w:t>
      </w:r>
    </w:p>
    <w:p w:rsidR="00AF7540" w:rsidRPr="009C237F" w:rsidRDefault="00AF7540" w:rsidP="002F47B7">
      <w:pPr>
        <w:tabs>
          <w:tab w:val="clear" w:pos="1080"/>
        </w:tabs>
        <w:overflowPunct/>
        <w:autoSpaceDE/>
        <w:autoSpaceDN/>
        <w:adjustRightInd/>
        <w:textAlignment w:val="auto"/>
        <w:outlineLvl w:val="9"/>
        <w:rPr>
          <w:rFonts w:ascii="Times New Roman" w:hAnsi="Times New Roman"/>
          <w:sz w:val="24"/>
          <w:szCs w:val="24"/>
        </w:rPr>
      </w:pPr>
    </w:p>
    <w:p w:rsidR="00AF7540" w:rsidRPr="009C237F" w:rsidRDefault="00AF7540" w:rsidP="00BF324C">
      <w:pPr>
        <w:pStyle w:val="Default"/>
      </w:pPr>
      <w:r w:rsidRPr="009C237F">
        <w:rPr>
          <w:b/>
        </w:rPr>
        <w:t xml:space="preserve">Target Population:  </w:t>
      </w:r>
      <w:r w:rsidRPr="009C237F">
        <w:t xml:space="preserve"> Selection Criteria for all PBV units – Tenants for the PBV units will be selected from THA’s waiting list in accordance with the requirements of THA’s Section 8 Administrative Plan, as amended from time to time. Tenants for the </w:t>
      </w:r>
      <w:r w:rsidRPr="009C237F">
        <w:rPr>
          <w:color w:val="auto"/>
        </w:rPr>
        <w:t xml:space="preserve">19 PBV </w:t>
      </w:r>
      <w:r w:rsidRPr="009C237F">
        <w:t xml:space="preserve">units with a set-aside for survivors of domestic violence shall likewise be required to meet the preference and selection criteria in THA’s Section 8 Administrative Plan to qualify for these units. (For purposes of selection by THA, these tenants may be alternatively referred to as “victims of domestic violence” as well). </w:t>
      </w:r>
    </w:p>
    <w:p w:rsidR="00AF7540" w:rsidRPr="009C237F" w:rsidRDefault="00AF7540" w:rsidP="00BF324C">
      <w:pPr>
        <w:pStyle w:val="Default"/>
      </w:pPr>
    </w:p>
    <w:p w:rsidR="00AF7540" w:rsidRPr="009C237F" w:rsidRDefault="00AF7540" w:rsidP="00BF324C">
      <w:pPr>
        <w:pStyle w:val="Default"/>
        <w:rPr>
          <w:color w:val="FF0000"/>
        </w:rPr>
      </w:pPr>
      <w:r w:rsidRPr="009C237F">
        <w:rPr>
          <w:b/>
        </w:rPr>
        <w:t xml:space="preserve">Supportive Services: Yes, </w:t>
      </w:r>
      <w:r>
        <w:t>f</w:t>
      </w:r>
      <w:r w:rsidRPr="009C237F">
        <w:t xml:space="preserve">or the PBV units set aside for survivors of domestic violence, the Development has entered into a Memorandum of Agreement with Unity House (UHDVS) with respect to provision of supportive services for such tenants. Through the proposed project, UHDVS will partner with Agent to offer valuable services that promote permanent housing and increase access to TCB’s permanent housing options for survivors of domestic violence. Survivors of domestic may have acquired debts, bad references from landlords and employers, and even criminal charges as a result of the violence in their life, all of which can negatively impact a survivor’s ability to secure TCB and other forms of permanent housing.  The Owner acknowledges that the protections of 24 CFR Part 5, subpart L apply with respect to survivors of domestic violence.  </w:t>
      </w:r>
    </w:p>
    <w:p w:rsidR="00AF7540" w:rsidRPr="009C237F" w:rsidRDefault="00AF7540" w:rsidP="007B3E17">
      <w:pPr>
        <w:tabs>
          <w:tab w:val="clear" w:pos="1080"/>
        </w:tabs>
        <w:overflowPunct/>
        <w:autoSpaceDE/>
        <w:autoSpaceDN/>
        <w:adjustRightInd/>
        <w:textAlignment w:val="auto"/>
        <w:outlineLvl w:val="9"/>
        <w:rPr>
          <w:rFonts w:ascii="Times New Roman" w:hAnsi="Times New Roman"/>
          <w:sz w:val="24"/>
          <w:szCs w:val="24"/>
        </w:rPr>
      </w:pPr>
      <w:r w:rsidRPr="009C237F">
        <w:rPr>
          <w:rFonts w:ascii="Times New Roman" w:hAnsi="Times New Roman"/>
          <w:sz w:val="24"/>
          <w:szCs w:val="24"/>
        </w:rPr>
        <w:t xml:space="preserve"> </w:t>
      </w:r>
    </w:p>
    <w:p w:rsidR="00AF7540" w:rsidRPr="009C237F" w:rsidRDefault="00AF7540" w:rsidP="00BF324C">
      <w:pPr>
        <w:pStyle w:val="Default"/>
      </w:pPr>
      <w:r w:rsidRPr="009C237F">
        <w:rPr>
          <w:b/>
        </w:rPr>
        <w:t>Waiting List:</w:t>
      </w:r>
      <w:r w:rsidRPr="009C237F">
        <w:t xml:space="preserve"> THA shall maintain a site-based waiting list for the PBV units at the Development and the Development may refer applicants to THA’s PBV waiting list. </w:t>
      </w:r>
    </w:p>
    <w:p w:rsidR="00AF7540" w:rsidRPr="009C237F" w:rsidRDefault="00AF7540" w:rsidP="007B3E17">
      <w:pPr>
        <w:tabs>
          <w:tab w:val="clear" w:pos="1080"/>
        </w:tabs>
        <w:overflowPunct/>
        <w:autoSpaceDE/>
        <w:autoSpaceDN/>
        <w:adjustRightInd/>
        <w:textAlignment w:val="auto"/>
        <w:outlineLvl w:val="9"/>
        <w:rPr>
          <w:rFonts w:ascii="Times New Roman" w:hAnsi="Times New Roman"/>
          <w:sz w:val="24"/>
          <w:szCs w:val="24"/>
        </w:rPr>
      </w:pPr>
    </w:p>
    <w:p w:rsidR="00AF7540" w:rsidRPr="009C237F" w:rsidRDefault="00AF7540" w:rsidP="00FB3DFD">
      <w:pPr>
        <w:tabs>
          <w:tab w:val="clear" w:pos="1080"/>
        </w:tabs>
        <w:overflowPunct/>
        <w:autoSpaceDE/>
        <w:autoSpaceDN/>
        <w:adjustRightInd/>
        <w:spacing w:before="0"/>
        <w:textAlignment w:val="auto"/>
        <w:outlineLvl w:val="9"/>
        <w:rPr>
          <w:rFonts w:ascii="Times New Roman" w:hAnsi="Times New Roman"/>
          <w:sz w:val="24"/>
          <w:szCs w:val="24"/>
        </w:rPr>
      </w:pPr>
      <w:r w:rsidRPr="009C237F">
        <w:rPr>
          <w:rFonts w:ascii="Times New Roman" w:hAnsi="Times New Roman"/>
          <w:b/>
          <w:sz w:val="24"/>
          <w:szCs w:val="24"/>
        </w:rPr>
        <w:t xml:space="preserve">Preferences: </w:t>
      </w:r>
      <w:r w:rsidRPr="009C237F">
        <w:rPr>
          <w:rFonts w:ascii="Times New Roman" w:hAnsi="Times New Roman"/>
          <w:b/>
          <w:bCs/>
          <w:sz w:val="24"/>
          <w:szCs w:val="24"/>
        </w:rPr>
        <w:t xml:space="preserve">E. </w:t>
      </w:r>
      <w:r w:rsidRPr="009C237F">
        <w:rPr>
          <w:rFonts w:ascii="Times New Roman" w:hAnsi="Times New Roman"/>
          <w:sz w:val="24"/>
          <w:szCs w:val="24"/>
        </w:rPr>
        <w:t xml:space="preserve">Applicants who will occupy PBV units at Tapestry must be selected from the THA waiting list. THA will select applicants from the THA waiting list in accordance with the </w:t>
      </w:r>
      <w:r w:rsidRPr="009C237F">
        <w:rPr>
          <w:rFonts w:ascii="Times New Roman" w:hAnsi="Times New Roman"/>
          <w:sz w:val="24"/>
          <w:szCs w:val="24"/>
        </w:rPr>
        <w:lastRenderedPageBreak/>
        <w:t>policies in the THA Section 8 Administrative Plan. The Owner will be responsible for all additional screening as described under this Tenant Selection Plan.</w:t>
      </w:r>
    </w:p>
    <w:p w:rsidR="00AF7540" w:rsidRPr="009C237F" w:rsidRDefault="00AF7540" w:rsidP="007B3E17">
      <w:pPr>
        <w:tabs>
          <w:tab w:val="clear" w:pos="1080"/>
        </w:tabs>
        <w:overflowPunct/>
        <w:autoSpaceDE/>
        <w:autoSpaceDN/>
        <w:adjustRightInd/>
        <w:spacing w:before="0"/>
        <w:textAlignment w:val="auto"/>
        <w:outlineLvl w:val="9"/>
        <w:rPr>
          <w:rFonts w:ascii="Times New Roman" w:hAnsi="Times New Roman"/>
          <w:sz w:val="24"/>
          <w:szCs w:val="24"/>
        </w:rPr>
      </w:pPr>
      <w:r w:rsidRPr="009C237F">
        <w:rPr>
          <w:rFonts w:ascii="Times New Roman" w:hAnsi="Times New Roman"/>
          <w:sz w:val="24"/>
          <w:szCs w:val="24"/>
        </w:rPr>
        <w:t>Preference for units accessible to or adaptable for occupancy by physically disabled persons in conformance with applicable law shall be given to physically disabled persons.</w:t>
      </w:r>
    </w:p>
    <w:p w:rsidR="00AF7540" w:rsidRPr="009C237F" w:rsidRDefault="00AF7540" w:rsidP="007B3E17">
      <w:pPr>
        <w:pStyle w:val="ListParagraph"/>
        <w:ind w:left="3600"/>
        <w:rPr>
          <w:rFonts w:ascii="Times New Roman" w:hAnsi="Times New Roman" w:cs="Times New Roman"/>
          <w:color w:val="FF0000"/>
          <w:sz w:val="24"/>
          <w:szCs w:val="24"/>
        </w:rPr>
      </w:pPr>
    </w:p>
    <w:p w:rsidR="00AF7540" w:rsidRPr="009C237F" w:rsidRDefault="00AF7540" w:rsidP="00F27A78">
      <w:pPr>
        <w:pStyle w:val="Default"/>
        <w:rPr>
          <w:color w:val="auto"/>
        </w:rPr>
      </w:pPr>
      <w:r w:rsidRPr="009C237F">
        <w:rPr>
          <w:b/>
        </w:rPr>
        <w:t xml:space="preserve">Preference Verification: </w:t>
      </w:r>
      <w:r w:rsidRPr="009C237F">
        <w:rPr>
          <w:color w:val="auto"/>
        </w:rPr>
        <w:t>THA will select applicants from the THA waiting list in accordance with the policies in the THA Section 8 Administrative Plan.</w:t>
      </w:r>
    </w:p>
    <w:p w:rsidR="00AF7540" w:rsidRPr="009C237F" w:rsidRDefault="00AF7540" w:rsidP="007B3E17">
      <w:pPr>
        <w:tabs>
          <w:tab w:val="clear" w:pos="1080"/>
        </w:tabs>
        <w:overflowPunct/>
        <w:autoSpaceDE/>
        <w:autoSpaceDN/>
        <w:adjustRightInd/>
        <w:spacing w:before="0"/>
        <w:textAlignment w:val="auto"/>
        <w:outlineLvl w:val="9"/>
        <w:rPr>
          <w:rFonts w:ascii="Times New Roman" w:hAnsi="Times New Roman"/>
          <w:sz w:val="24"/>
          <w:szCs w:val="24"/>
        </w:rPr>
      </w:pPr>
    </w:p>
    <w:p w:rsidR="00AF7540" w:rsidRPr="009C237F" w:rsidRDefault="00AF7540" w:rsidP="00F27A78">
      <w:pPr>
        <w:pStyle w:val="Default"/>
      </w:pPr>
      <w:r w:rsidRPr="009C237F">
        <w:rPr>
          <w:b/>
        </w:rPr>
        <w:t xml:space="preserve">Income Limit: </w:t>
      </w:r>
      <w:r>
        <w:rPr>
          <w:sz w:val="23"/>
          <w:szCs w:val="23"/>
        </w:rPr>
        <w:t xml:space="preserve">Maximum Income – Household annual income must not exceed current income limits for the program to which application is made. </w:t>
      </w:r>
      <w:r w:rsidRPr="009C237F">
        <w:t xml:space="preserve">Minimum rent obligations are not applicable to participants in low rent programs, such as Section 8. </w:t>
      </w:r>
    </w:p>
    <w:p w:rsidR="00AF7540" w:rsidRPr="009C237F" w:rsidRDefault="00CB3627" w:rsidP="007B3E17">
      <w:pPr>
        <w:rPr>
          <w:rFonts w:ascii="Times New Roman" w:hAnsi="Times New Roman"/>
          <w:sz w:val="24"/>
          <w:szCs w:val="24"/>
        </w:rPr>
      </w:pPr>
      <w:r>
        <w:rPr>
          <w:rFonts w:ascii="Times New Roman" w:hAnsi="Times New Roman"/>
          <w:sz w:val="24"/>
          <w:szCs w:val="24"/>
        </w:rPr>
        <w:t xml:space="preserve">Income Limits are further </w:t>
      </w:r>
      <w:bookmarkStart w:id="0" w:name="_GoBack"/>
      <w:bookmarkEnd w:id="0"/>
      <w:r w:rsidRPr="00CB3627">
        <w:rPr>
          <w:rFonts w:ascii="Times New Roman" w:hAnsi="Times New Roman"/>
          <w:sz w:val="24"/>
          <w:szCs w:val="24"/>
        </w:rPr>
        <w:t>described in Chapter 3 of the Administrative Plan.</w:t>
      </w:r>
    </w:p>
    <w:p w:rsidR="00AF7540" w:rsidRPr="009C237F" w:rsidRDefault="00AF7540" w:rsidP="007B3E17">
      <w:pPr>
        <w:rPr>
          <w:rFonts w:ascii="Times New Roman" w:hAnsi="Times New Roman"/>
          <w:sz w:val="24"/>
          <w:szCs w:val="24"/>
        </w:rPr>
      </w:pPr>
    </w:p>
    <w:p w:rsidR="00AF7540" w:rsidRPr="009C237F" w:rsidRDefault="00AF7540" w:rsidP="00F27A78">
      <w:pPr>
        <w:pStyle w:val="Default"/>
      </w:pPr>
      <w:r w:rsidRPr="009C237F">
        <w:rPr>
          <w:b/>
        </w:rPr>
        <w:t>Occupancy Standards:</w:t>
      </w:r>
      <w:r w:rsidRPr="009C237F">
        <w:rPr>
          <w:b/>
          <w:bCs/>
        </w:rPr>
        <w:t xml:space="preserve">   </w:t>
      </w:r>
      <w:r w:rsidRPr="009C237F">
        <w:rPr>
          <w:i/>
          <w:iCs/>
        </w:rPr>
        <w:t># Bedrooms Maximum</w:t>
      </w:r>
      <w:r w:rsidRPr="009C237F">
        <w:rPr>
          <w:i/>
          <w:iCs/>
        </w:rPr>
        <w:tab/>
      </w:r>
      <w:r w:rsidRPr="009C237F">
        <w:rPr>
          <w:i/>
          <w:iCs/>
        </w:rPr>
        <w:tab/>
        <w:t xml:space="preserve">   Number of Persons </w:t>
      </w:r>
    </w:p>
    <w:p w:rsidR="00AF7540" w:rsidRPr="009C237F" w:rsidRDefault="00AF7540" w:rsidP="00CC5D19">
      <w:pPr>
        <w:pStyle w:val="Default"/>
        <w:ind w:left="2880" w:firstLine="720"/>
      </w:pPr>
      <w:r w:rsidRPr="009C237F">
        <w:t xml:space="preserve">1 </w:t>
      </w:r>
      <w:r w:rsidRPr="009C237F">
        <w:tab/>
      </w:r>
      <w:r w:rsidRPr="009C237F">
        <w:tab/>
      </w:r>
      <w:r w:rsidRPr="009C237F">
        <w:tab/>
      </w:r>
      <w:r w:rsidRPr="009C237F">
        <w:tab/>
        <w:t xml:space="preserve">2 persons </w:t>
      </w:r>
    </w:p>
    <w:p w:rsidR="00AF7540" w:rsidRPr="009C237F" w:rsidRDefault="00AF7540" w:rsidP="00CC5D19">
      <w:pPr>
        <w:pStyle w:val="Default"/>
        <w:ind w:left="2880" w:firstLine="720"/>
      </w:pPr>
      <w:r w:rsidRPr="009C237F">
        <w:t xml:space="preserve">2 </w:t>
      </w:r>
      <w:r w:rsidRPr="009C237F">
        <w:tab/>
      </w:r>
      <w:r w:rsidRPr="009C237F">
        <w:tab/>
      </w:r>
      <w:r w:rsidRPr="009C237F">
        <w:tab/>
      </w:r>
      <w:r w:rsidRPr="009C237F">
        <w:tab/>
        <w:t xml:space="preserve">4 persons </w:t>
      </w:r>
    </w:p>
    <w:p w:rsidR="00AF7540" w:rsidRPr="009C237F" w:rsidRDefault="00AF7540" w:rsidP="00CC5D19">
      <w:pPr>
        <w:pStyle w:val="Default"/>
        <w:ind w:left="2880" w:firstLine="720"/>
      </w:pPr>
      <w:r w:rsidRPr="009C237F">
        <w:t xml:space="preserve">3 </w:t>
      </w:r>
      <w:r w:rsidRPr="009C237F">
        <w:tab/>
      </w:r>
      <w:r w:rsidRPr="009C237F">
        <w:tab/>
      </w:r>
      <w:r w:rsidRPr="009C237F">
        <w:tab/>
      </w:r>
      <w:r w:rsidRPr="009C237F">
        <w:tab/>
        <w:t>6 persons</w:t>
      </w:r>
    </w:p>
    <w:p w:rsidR="00AF7540" w:rsidRPr="009C237F" w:rsidRDefault="00AF7540" w:rsidP="007B3E17">
      <w:pPr>
        <w:spacing w:after="160" w:line="259" w:lineRule="auto"/>
        <w:contextualSpacing/>
        <w:rPr>
          <w:rFonts w:ascii="Times New Roman" w:hAnsi="Times New Roman"/>
          <w:b/>
          <w:sz w:val="24"/>
          <w:szCs w:val="24"/>
        </w:rPr>
      </w:pPr>
    </w:p>
    <w:p w:rsidR="00AF7540" w:rsidRPr="009C237F" w:rsidRDefault="00AF7540" w:rsidP="007B3E17">
      <w:pPr>
        <w:spacing w:after="160" w:line="259" w:lineRule="auto"/>
        <w:contextualSpacing/>
        <w:rPr>
          <w:rFonts w:ascii="Times New Roman" w:hAnsi="Times New Roman"/>
          <w:b/>
          <w:sz w:val="24"/>
          <w:szCs w:val="24"/>
        </w:rPr>
      </w:pPr>
      <w:r w:rsidRPr="009C237F">
        <w:rPr>
          <w:rFonts w:ascii="Times New Roman" w:hAnsi="Times New Roman"/>
          <w:b/>
          <w:sz w:val="24"/>
          <w:szCs w:val="24"/>
        </w:rPr>
        <w:t xml:space="preserve">Utilities: </w:t>
      </w:r>
    </w:p>
    <w:p w:rsidR="00AF7540" w:rsidRPr="009C237F" w:rsidRDefault="00AF7540" w:rsidP="007B3E17">
      <w:pPr>
        <w:spacing w:after="160" w:line="259" w:lineRule="auto"/>
        <w:contextualSpacing/>
        <w:rPr>
          <w:rFonts w:ascii="Times New Roman" w:hAnsi="Times New Roman"/>
          <w:sz w:val="24"/>
          <w:szCs w:val="24"/>
        </w:rPr>
      </w:pPr>
    </w:p>
    <w:p w:rsidR="00AF7540" w:rsidRPr="009C237F" w:rsidRDefault="00AF7540" w:rsidP="007B3E17">
      <w:pPr>
        <w:spacing w:after="160" w:line="259" w:lineRule="auto"/>
        <w:contextualSpacing/>
        <w:rPr>
          <w:rFonts w:ascii="Times New Roman" w:hAnsi="Times New Roman"/>
          <w:sz w:val="24"/>
          <w:szCs w:val="24"/>
        </w:rPr>
      </w:pPr>
      <w:r w:rsidRPr="009C237F">
        <w:rPr>
          <w:rFonts w:ascii="Times New Roman" w:hAnsi="Times New Roman"/>
          <w:sz w:val="24"/>
          <w:szCs w:val="24"/>
        </w:rPr>
        <w:t xml:space="preserve"> </w:t>
      </w:r>
      <w:r w:rsidRPr="009C237F">
        <w:rPr>
          <w:rFonts w:ascii="Times New Roman" w:hAnsi="Times New Roman"/>
          <w:b/>
          <w:color w:val="000000"/>
          <w:sz w:val="24"/>
          <w:szCs w:val="24"/>
        </w:rPr>
        <w:t>Vacancy Payments: N/A</w:t>
      </w:r>
    </w:p>
    <w:p w:rsidR="00AF7540" w:rsidRPr="009C237F" w:rsidRDefault="00AF7540">
      <w:pPr>
        <w:rPr>
          <w:rFonts w:ascii="Times New Roman" w:hAnsi="Times New Roman"/>
          <w:sz w:val="24"/>
          <w:szCs w:val="24"/>
        </w:rPr>
      </w:pPr>
    </w:p>
    <w:sectPr w:rsidR="00AF7540" w:rsidRPr="009C237F" w:rsidSect="00971BFF">
      <w:pgSz w:w="12240" w:h="15840"/>
      <w:pgMar w:top="1440" w:right="1440" w:bottom="144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32715"/>
    <w:multiLevelType w:val="hybridMultilevel"/>
    <w:tmpl w:val="3A043DE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34E1D68">
      <w:start w:val="1"/>
      <w:numFmt w:val="lowerRoman"/>
      <w:lvlText w:val="%3."/>
      <w:lvlJc w:val="right"/>
      <w:pPr>
        <w:ind w:left="2160" w:hanging="18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4E7B0D07"/>
    <w:multiLevelType w:val="hybridMultilevel"/>
    <w:tmpl w:val="1062CB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54EE6FF1"/>
    <w:multiLevelType w:val="hybridMultilevel"/>
    <w:tmpl w:val="AAC840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E17"/>
    <w:rsid w:val="0003058F"/>
    <w:rsid w:val="000F6A6F"/>
    <w:rsid w:val="001B27B3"/>
    <w:rsid w:val="002F47B7"/>
    <w:rsid w:val="005029D5"/>
    <w:rsid w:val="005F094C"/>
    <w:rsid w:val="00787B27"/>
    <w:rsid w:val="007B3E17"/>
    <w:rsid w:val="00812BF1"/>
    <w:rsid w:val="009110A0"/>
    <w:rsid w:val="00971BFF"/>
    <w:rsid w:val="009C237F"/>
    <w:rsid w:val="00AA51AE"/>
    <w:rsid w:val="00AD4C9B"/>
    <w:rsid w:val="00AF7540"/>
    <w:rsid w:val="00BF324C"/>
    <w:rsid w:val="00C516E3"/>
    <w:rsid w:val="00C8187A"/>
    <w:rsid w:val="00CB3627"/>
    <w:rsid w:val="00CC5D19"/>
    <w:rsid w:val="00D850E8"/>
    <w:rsid w:val="00F27A78"/>
    <w:rsid w:val="00FB3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7F73ED1"/>
  <w15:docId w15:val="{864D5B1C-8B16-4B58-9846-C387C48C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17"/>
    <w:pPr>
      <w:tabs>
        <w:tab w:val="left" w:pos="1080"/>
      </w:tabs>
      <w:overflowPunct w:val="0"/>
      <w:autoSpaceDE w:val="0"/>
      <w:autoSpaceDN w:val="0"/>
      <w:adjustRightInd w:val="0"/>
      <w:spacing w:before="120"/>
      <w:textAlignment w:val="baseline"/>
      <w:outlineLvl w:val="0"/>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3E17"/>
    <w:pPr>
      <w:tabs>
        <w:tab w:val="clear" w:pos="1080"/>
      </w:tabs>
      <w:overflowPunct/>
      <w:autoSpaceDE/>
      <w:autoSpaceDN/>
      <w:adjustRightInd/>
      <w:spacing w:before="0"/>
      <w:ind w:left="720"/>
      <w:textAlignment w:val="auto"/>
      <w:outlineLvl w:val="9"/>
    </w:pPr>
    <w:rPr>
      <w:rFonts w:ascii="Calibri" w:eastAsia="Calibri" w:hAnsi="Calibri" w:cs="Calibri"/>
      <w:szCs w:val="22"/>
    </w:rPr>
  </w:style>
  <w:style w:type="paragraph" w:styleId="BalloonText">
    <w:name w:val="Balloon Text"/>
    <w:basedOn w:val="Normal"/>
    <w:link w:val="BalloonTextChar"/>
    <w:uiPriority w:val="99"/>
    <w:semiHidden/>
    <w:rsid w:val="002F47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47B7"/>
    <w:rPr>
      <w:rFonts w:ascii="Tahoma" w:hAnsi="Tahoma" w:cs="Tahoma"/>
      <w:sz w:val="16"/>
      <w:szCs w:val="16"/>
    </w:rPr>
  </w:style>
  <w:style w:type="paragraph" w:customStyle="1" w:styleId="Default">
    <w:name w:val="Default"/>
    <w:uiPriority w:val="99"/>
    <w:rsid w:val="00BF324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EXHIBIT 17-1: PBV DEVELOPMENT: [Tapestry On The Hudson]</vt:lpstr>
    </vt:vector>
  </TitlesOfParts>
  <Company>Troy Housing Authority</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17-1: PBV DEVELOPMENT: [Tapestry On The Hudson]</dc:title>
  <dc:subject/>
  <dc:creator>Teri Robertson</dc:creator>
  <cp:keywords/>
  <dc:description/>
  <cp:lastModifiedBy>thomas.hulihan</cp:lastModifiedBy>
  <cp:revision>4</cp:revision>
  <dcterms:created xsi:type="dcterms:W3CDTF">2018-11-15T14:35:00Z</dcterms:created>
  <dcterms:modified xsi:type="dcterms:W3CDTF">2022-10-19T18:50:00Z</dcterms:modified>
</cp:coreProperties>
</file>